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E03C70">
      <w:pPr>
        <w:pStyle w:val="3"/>
        <w:numPr>
          <w:ilvl w:val="0"/>
          <w:numId w:val="0"/>
        </w:numPr>
        <w:spacing w:line="460" w:lineRule="exact"/>
        <w:ind w:left="-11" w:leftChars="0"/>
        <w:jc w:val="center"/>
        <w:rPr>
          <w:rFonts w:hint="default" w:eastAsia="宋体" w:cs="宋体"/>
          <w:lang w:val="en-US" w:eastAsia="zh-CN"/>
        </w:rPr>
      </w:pPr>
      <w:r>
        <w:rPr>
          <w:rFonts w:hint="eastAsia" w:cs="宋体"/>
          <w:lang w:val="en-US" w:eastAsia="zh-CN"/>
        </w:rPr>
        <w:t>配置要求</w:t>
      </w:r>
    </w:p>
    <w:p w14:paraId="3DDC6A4A">
      <w:pPr>
        <w:pStyle w:val="4"/>
        <w:snapToGrid w:val="0"/>
        <w:spacing w:before="0" w:after="0" w:line="460" w:lineRule="exact"/>
        <w:rPr>
          <w:rFonts w:cs="宋体" w:asciiTheme="minorEastAsia" w:hAnsiTheme="minorEastAsia" w:eastAsiaTheme="minorEastAsia"/>
          <w:sz w:val="28"/>
          <w:szCs w:val="28"/>
        </w:rPr>
      </w:pPr>
      <w:bookmarkStart w:id="0" w:name="_Toc17220"/>
      <w:r>
        <w:rPr>
          <w:rFonts w:hint="eastAsia" w:cs="宋体" w:asciiTheme="minorEastAsia" w:hAnsiTheme="minorEastAsia" w:eastAsiaTheme="minorEastAsia"/>
          <w:sz w:val="28"/>
          <w:szCs w:val="28"/>
        </w:rPr>
        <w:t>1.采购清单</w:t>
      </w:r>
    </w:p>
    <w:p w14:paraId="4BE66D54">
      <w:pPr>
        <w:jc w:val="center"/>
        <w:rPr>
          <w:rFonts w:cs="宋体" w:asciiTheme="minorEastAsia" w:hAnsiTheme="minorEastAsia" w:eastAsiaTheme="minorEastAsia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sz w:val="28"/>
          <w:szCs w:val="28"/>
        </w:rPr>
        <w:t>标段一：台式主机</w:t>
      </w:r>
    </w:p>
    <w:tbl>
      <w:tblPr>
        <w:tblStyle w:val="6"/>
        <w:tblW w:w="9200" w:type="dxa"/>
        <w:tblInd w:w="-5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8"/>
        <w:gridCol w:w="7089"/>
        <w:gridCol w:w="833"/>
      </w:tblGrid>
      <w:tr w14:paraId="7E03D4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CFE30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名称</w:t>
            </w:r>
          </w:p>
        </w:tc>
        <w:tc>
          <w:tcPr>
            <w:tcW w:w="7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06D00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配置明细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2729E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数量</w:t>
            </w:r>
          </w:p>
        </w:tc>
      </w:tr>
      <w:tr w14:paraId="668514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F3502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台式主机1</w:t>
            </w:r>
          </w:p>
        </w:tc>
        <w:tc>
          <w:tcPr>
            <w:tcW w:w="7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18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处理器： I9-14900K中文盒装；风扇：TT 大台风 360 水冷；主板：华硕的 TUF GAMING Z790 - PRO WiFi；内存：威刚（ADATA）龙耀D500G DDR5 6400  CL32时序32Gx2套装；固态硬盘：三星ITB NVMe 协议PCIe 4.0；机械硬盘：ST4tb；显卡：七彩虹iGame  GeForce RTX4090D  Neptune 水神；键鼠：罗技 MK200 套件；机箱：玩嘉360；电源：长城1200W。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BC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15096D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2B914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台式主机2</w:t>
            </w:r>
          </w:p>
        </w:tc>
        <w:tc>
          <w:tcPr>
            <w:tcW w:w="7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2E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CPU：i7 14700kf；主板：华硕z790A吹雪d5；内存：宏基掠夺者（16*4）6800 ddr5；扇热：华硕飞龙360；固态：三星1tb，M.2接口990pro；显卡：七彩虹RTX 4080 super 16G 水神；电源：长城1250W 机箱：玩嘉360；机械硬盘：西部数据4tb机械硬盘蓝盘5400转256gb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01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 w14:paraId="37C8CE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88901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台式主机3</w:t>
            </w:r>
          </w:p>
        </w:tc>
        <w:tc>
          <w:tcPr>
            <w:tcW w:w="7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CB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I7-13700KF\昆仑KL-360\华硕B760M-PLUS\威刚32G  DDR4 3200（16G*2）\三星980 Pro 1TB \ST4000DM004\七彩虹（Colorful）iGame GeForce RTX 4060 Ti\七彩虹（Colorful）iGame GeForce RTX 4060 Ti\长城X7 750W \罗技套件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EA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 w14:paraId="62D4CB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61C9B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台式主机4</w:t>
            </w:r>
          </w:p>
        </w:tc>
        <w:tc>
          <w:tcPr>
            <w:tcW w:w="7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43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I7-13700KF\昆仑KL-360\昆仑KL-360\威刚32G  DDR4 3200（16G*2）\三星980 Pro 1TB \ST2000DM008\七彩虹GT1030\长城GW-6800 600W \罗技套件\航嘉多盘位机箱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E7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76B84E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AF606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台式主机5</w:t>
            </w:r>
          </w:p>
        </w:tc>
        <w:tc>
          <w:tcPr>
            <w:tcW w:w="7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CF6F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处理器：I7-14700KF中文盒装；风扇：TT 大台风360水冷；主板：华硕 B760大板4个内存接口，3个M.2接口；内存：金士顿   32G  DDR5（16G*2）；固态硬盘：三星  1TB  NVMe协议PCIe 4.0；机械硬盘：ST4tb；显卡：七彩虹4090水神；键鼠：罗技MK200套件；机箱：长城（Great Wall）铁幕H503B；电源：长城1250W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BD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 w14:paraId="112360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2800F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台式主机6</w:t>
            </w:r>
          </w:p>
        </w:tc>
        <w:tc>
          <w:tcPr>
            <w:tcW w:w="7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78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处理器：I7-14700KF中文盒装；风扇：TT 大台风360水冷；主板：华硕 B760大板4个内存接口，3个M.2接口；内存：威刚   32G  DDR5（16G*2）；固态硬盘：三星  1TB  NVMe协议PCIe 4.0；机械硬盘：ST4tb；显卡：七彩虹3050；键鼠：罗技MK200套件；机箱：长城（Great Wall）铁幕H503B；电源：长城750W</w:t>
            </w:r>
            <w:r>
              <w:rPr>
                <w:rStyle w:val="9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 xml:space="preserve"> 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72141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</w:tr>
      <w:tr w14:paraId="050FF5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C9216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台式主机7</w:t>
            </w:r>
          </w:p>
        </w:tc>
        <w:tc>
          <w:tcPr>
            <w:tcW w:w="7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D084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处理器：I7-14700K中文盒装；风扇：TT 大台风360水冷；主板：华硕 B760大板4个内存接口，3个M.2接口；内存：金士顿   32G  DDR5（16G*2）；固态硬盘：三星  1TB  NVMe协议PCIe 4.0；机械硬盘：ST4tb；显卡：七彩虹3050；键鼠：罗技MK200套件；机箱：长城（Great Wall）铁幕H503B；电源：长城750W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31456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</w:tr>
      <w:tr w14:paraId="75B672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727B3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台式主机8</w:t>
            </w:r>
          </w:p>
        </w:tc>
        <w:tc>
          <w:tcPr>
            <w:tcW w:w="7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ADBC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处理器：I7-14700KF中文盒装；风扇：TT 大台风360水冷；主板：华硕 B760大板4个内存接口，3个M.2接口；内存：金士顿   32G  DDR5（16G*2）；固态硬盘：三星  1TB  NVMe协议PCIe 4.0；机械硬盘：ST4tb；显卡：七彩虹 4060 Ti  16G ；键鼠：罗技MK200套件；机箱：长城（Great Wall）铁幕H503B；电源：长城750W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DAA98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</w:tr>
      <w:tr w14:paraId="42E664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32D7A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台式主机9</w:t>
            </w:r>
          </w:p>
        </w:tc>
        <w:tc>
          <w:tcPr>
            <w:tcW w:w="7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49C2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处理器：I7-14700K中文盒装；风扇：TT 大台风360水冷；主板：华硕 B760大板4个内存接口，3个M.2接口；内存：金士顿   32G  DDR5（16G*2）；固态硬盘：三星  1TB  NVMe协议PCIe 4.0；机械硬盘：ST4tb；显卡：七彩虹 4060 Ti  16G ；键鼠：罗技MK200套件；机箱：长城（Great Wall）铁幕H503B；电源：长城750W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66CBD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</w:tr>
      <w:tr w14:paraId="7DB1E6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6EE83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台式主机10</w:t>
            </w:r>
          </w:p>
        </w:tc>
        <w:tc>
          <w:tcPr>
            <w:tcW w:w="7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8D4B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处理器：I7-14700KF中文盒装；风扇：TT 大台风360水冷；主板：华硕 B760大板4个内存接口，3个M.2接口；内存：金士顿   32G  DDR5（16G*2）；固态硬盘：三星  1TB  NVMe协议PCIe 4.0；机械硬盘：ST4tb；显卡：七彩虹4070 Super；键鼠：罗技MK200套件；机箱：长城（Great Wall）铁幕H503B；电源：安耐美 BN850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5EC2B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</w:tr>
      <w:tr w14:paraId="021CEA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5E517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台式主机11</w:t>
            </w:r>
          </w:p>
        </w:tc>
        <w:tc>
          <w:tcPr>
            <w:tcW w:w="7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2754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处理器：I7-14700KF中文盒装；风扇：TT 大台风360水冷；主板：华硕 B760大板4个内存接口，3个M.2接口；内存：威刚   32G  DDR5（16G*2）；固态硬盘：三星  1TB  NVMe协议PCIe 4.0；机械硬盘：ST4tb；显卡：七彩虹4070 Super；键鼠：罗技MK200套件；机箱：长城（Great Wall）铁幕H503B；电源：安耐美 BN850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9068B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</w:tr>
      <w:tr w14:paraId="385ECA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58816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台式主机12</w:t>
            </w:r>
          </w:p>
        </w:tc>
        <w:tc>
          <w:tcPr>
            <w:tcW w:w="7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2756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处理器：I7-14700K中文盒装；风扇：TT 大台风360水冷；主板：华硕 B760大板4个内存接口，3个M.2接口；内存：金士顿   32G  DDR5（16G*2）；固态硬盘：三星  1TB  NVMe协议PCIe 4.0；机械硬盘：ST4tb；显卡：七彩虹4070 Super；键鼠：罗技MK200套件；机箱：长城（Great Wall）铁幕H503B；电源：安耐美 BN850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EF738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</w:tr>
      <w:tr w14:paraId="384E7B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A4318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台式主机13</w:t>
            </w:r>
          </w:p>
        </w:tc>
        <w:tc>
          <w:tcPr>
            <w:tcW w:w="7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CB88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处理器：I7-14700K中文盒装；风扇：TT 大台风360水冷；主板：华硕 B760大板4个内存接口，3个M.2接口；内存：威刚   32G  DDR5（16G*2）；固态硬盘：三星  1TB  NVMe协议PCIe 4.0；机械硬盘：ST4tb；显卡：七彩虹4070 Super；键鼠：罗技MK200套件；机箱：长城（Great Wall）铁幕H503B；电源：安耐美 BN850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0C1FB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</w:tr>
      <w:tr w14:paraId="6701E8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07BC9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合计</w:t>
            </w:r>
          </w:p>
        </w:tc>
        <w:tc>
          <w:tcPr>
            <w:tcW w:w="79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9AEC1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40</w:t>
            </w:r>
          </w:p>
        </w:tc>
      </w:tr>
    </w:tbl>
    <w:p w14:paraId="3659F712">
      <w:pPr>
        <w:rPr>
          <w:rFonts w:cs="宋体" w:asciiTheme="minorEastAsia" w:hAnsiTheme="minorEastAsia" w:eastAsiaTheme="minorEastAsia"/>
          <w:sz w:val="28"/>
          <w:szCs w:val="28"/>
        </w:rPr>
      </w:pPr>
    </w:p>
    <w:p w14:paraId="34683AF1">
      <w:pPr>
        <w:jc w:val="center"/>
        <w:rPr>
          <w:rFonts w:cs="宋体" w:asciiTheme="minorEastAsia" w:hAnsiTheme="minorEastAsia" w:eastAsiaTheme="minorEastAsia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sz w:val="28"/>
          <w:szCs w:val="28"/>
        </w:rPr>
        <w:t>标段二：显示器</w:t>
      </w:r>
    </w:p>
    <w:tbl>
      <w:tblPr>
        <w:tblStyle w:val="6"/>
        <w:tblW w:w="835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6195"/>
        <w:gridCol w:w="1080"/>
      </w:tblGrid>
      <w:tr w14:paraId="4682F4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9FB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名称</w:t>
            </w:r>
          </w:p>
        </w:tc>
        <w:tc>
          <w:tcPr>
            <w:tcW w:w="6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D8B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配置明细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166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数量</w:t>
            </w:r>
          </w:p>
        </w:tc>
      </w:tr>
      <w:bookmarkEnd w:id="1"/>
      <w:tr w14:paraId="23557D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FE35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显示器1</w:t>
            </w:r>
          </w:p>
        </w:tc>
        <w:tc>
          <w:tcPr>
            <w:tcW w:w="6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13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飞利浦241B8QJEB(升降旋转 全接口/内置音箱）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AD62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44</w:t>
            </w:r>
          </w:p>
        </w:tc>
      </w:tr>
      <w:tr w14:paraId="50D934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F302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显示器2</w:t>
            </w:r>
          </w:p>
        </w:tc>
        <w:tc>
          <w:tcPr>
            <w:tcW w:w="6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5E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飞利浦 325B1LN黑色  2K  DP/HDMI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90C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17</w:t>
            </w:r>
          </w:p>
        </w:tc>
      </w:tr>
      <w:tr w14:paraId="607F7E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EF3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显示器3</w:t>
            </w:r>
          </w:p>
        </w:tc>
        <w:tc>
          <w:tcPr>
            <w:tcW w:w="6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F2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飞利浦345B1CR34英寸2K高清21:9带鱼屏DP/HDMI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02D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</w:tr>
      <w:tr w14:paraId="406516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C4E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显示器4</w:t>
            </w:r>
          </w:p>
        </w:tc>
        <w:tc>
          <w:tcPr>
            <w:tcW w:w="6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C1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飞利浦27B1n5500B （2K高分IPS屏 100Hz刷新 TUV滤蓝不闪屏 升降旋转HDMI/DP）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D8A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19</w:t>
            </w:r>
          </w:p>
        </w:tc>
      </w:tr>
      <w:tr w14:paraId="71874F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B92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bookmarkStart w:id="2" w:name="_GoBack" w:colFirst="0" w:colLast="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A8C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81</w:t>
            </w:r>
          </w:p>
        </w:tc>
      </w:tr>
    </w:tbl>
    <w:p w14:paraId="6EFE53EC">
      <w:pPr>
        <w:jc w:val="center"/>
        <w:rPr>
          <w:rFonts w:cs="宋体" w:asciiTheme="minorEastAsia" w:hAnsiTheme="minorEastAsia" w:eastAsiaTheme="minorEastAsia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sz w:val="28"/>
          <w:szCs w:val="28"/>
        </w:rPr>
        <w:t>标段三：其他电子设备</w:t>
      </w:r>
    </w:p>
    <w:tbl>
      <w:tblPr>
        <w:tblStyle w:val="6"/>
        <w:tblW w:w="765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1"/>
        <w:gridCol w:w="4767"/>
        <w:gridCol w:w="1321"/>
      </w:tblGrid>
      <w:tr w14:paraId="0418D6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66A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名称</w:t>
            </w:r>
          </w:p>
        </w:tc>
        <w:tc>
          <w:tcPr>
            <w:tcW w:w="4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D2A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配置明细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C8F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数量</w:t>
            </w:r>
          </w:p>
        </w:tc>
      </w:tr>
      <w:tr w14:paraId="5B9316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5E6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笔记本电脑1</w:t>
            </w:r>
          </w:p>
        </w:tc>
        <w:tc>
          <w:tcPr>
            <w:tcW w:w="4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079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华为MateBook GT 14 Ultra 7 32G 1T 深空灰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3F9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</w:tr>
      <w:tr w14:paraId="6C1AED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99F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笔记本电脑2</w:t>
            </w:r>
          </w:p>
        </w:tc>
        <w:tc>
          <w:tcPr>
            <w:tcW w:w="4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E264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华为MateBook X Pro Ultra7 32G 1T 砚黑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F19B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</w:tr>
      <w:tr w14:paraId="3F284C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C0DE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笔记本电脑3</w:t>
            </w:r>
          </w:p>
        </w:tc>
        <w:tc>
          <w:tcPr>
            <w:tcW w:w="4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D9E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ThinkPad 联想笔记本电脑ThinkBook 14+2024 A全能本英特尔酷睿Ultra5125H14.5英寸32G1TRTX4050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1D0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</w:tr>
      <w:tr w14:paraId="2CF73E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F74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笔记本电脑4</w:t>
            </w:r>
          </w:p>
        </w:tc>
        <w:tc>
          <w:tcPr>
            <w:tcW w:w="4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1584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ThinkPad 联想ThinkBook 14+ i7-13700H 16G 512G RTX3050 2.8K 90Hz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472D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</w:tr>
      <w:tr w14:paraId="5FB5D7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3F4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笔记本电脑5</w:t>
            </w:r>
          </w:p>
        </w:tc>
        <w:tc>
          <w:tcPr>
            <w:tcW w:w="4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5540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ThinkPad 联想ThinkBook 14+ i5-13500H 16G 512G RTX3050 2.8K 90Hz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605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3</w:t>
            </w:r>
          </w:p>
        </w:tc>
      </w:tr>
      <w:tr w14:paraId="20CF32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CE52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档案装订机</w:t>
            </w:r>
          </w:p>
        </w:tc>
        <w:tc>
          <w:tcPr>
            <w:tcW w:w="4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053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科密CM500K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D92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</w:tr>
      <w:tr w14:paraId="0AEDA7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C0C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打印机</w:t>
            </w:r>
          </w:p>
        </w:tc>
        <w:tc>
          <w:tcPr>
            <w:tcW w:w="4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5796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京瓷MA2100CX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0162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</w:tr>
      <w:tr w14:paraId="39A405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ED7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碎纸机</w:t>
            </w:r>
          </w:p>
        </w:tc>
        <w:tc>
          <w:tcPr>
            <w:tcW w:w="4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59B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科密 comet 9910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A6E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</w:tr>
      <w:tr w14:paraId="1E3510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639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A4一体机</w:t>
            </w:r>
          </w:p>
        </w:tc>
        <w:tc>
          <w:tcPr>
            <w:tcW w:w="4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FB64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京瓷MA2000（打印、复印、扫描）可打印220G厚纸，20页/分钟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0BB7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</w:tr>
      <w:tr w14:paraId="474D81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63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924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合计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0DBC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13</w:t>
            </w:r>
          </w:p>
        </w:tc>
      </w:tr>
    </w:tbl>
    <w:p w14:paraId="037A252B">
      <w:pPr>
        <w:pStyle w:val="4"/>
        <w:snapToGrid w:val="0"/>
        <w:spacing w:before="0" w:after="0" w:line="460" w:lineRule="exact"/>
        <w:rPr>
          <w:rFonts w:cs="宋体" w:asciiTheme="minorEastAsia" w:hAnsiTheme="minorEastAsia" w:eastAsiaTheme="minorEastAsia"/>
          <w:sz w:val="28"/>
          <w:szCs w:val="28"/>
        </w:rPr>
      </w:pPr>
    </w:p>
    <w:p w14:paraId="7FF087DB">
      <w:pPr>
        <w:pStyle w:val="4"/>
        <w:snapToGrid w:val="0"/>
        <w:spacing w:before="0" w:after="0" w:line="460" w:lineRule="exact"/>
        <w:rPr>
          <w:rFonts w:cs="宋体" w:asciiTheme="minorEastAsia" w:hAnsiTheme="minorEastAsia" w:eastAsiaTheme="minorEastAsia"/>
          <w:sz w:val="28"/>
          <w:szCs w:val="28"/>
        </w:rPr>
      </w:pPr>
      <w:r>
        <w:rPr>
          <w:rFonts w:cs="宋体" w:asciiTheme="minorEastAsia" w:hAnsiTheme="minorEastAsia" w:eastAsiaTheme="minorEastAsia"/>
          <w:sz w:val="28"/>
          <w:szCs w:val="28"/>
        </w:rPr>
        <w:t>2.</w:t>
      </w:r>
      <w:bookmarkEnd w:id="0"/>
      <w:r>
        <w:rPr>
          <w:rFonts w:cs="宋体" w:asciiTheme="minorEastAsia" w:hAnsiTheme="minorEastAsia" w:eastAsiaTheme="minorEastAsia"/>
          <w:sz w:val="28"/>
          <w:szCs w:val="28"/>
        </w:rPr>
        <w:t>产品质量</w:t>
      </w:r>
      <w:r>
        <w:rPr>
          <w:rFonts w:hint="eastAsia" w:cs="宋体" w:asciiTheme="minorEastAsia" w:hAnsiTheme="minorEastAsia" w:eastAsiaTheme="minorEastAsia"/>
          <w:sz w:val="28"/>
          <w:szCs w:val="28"/>
        </w:rPr>
        <w:t>要求</w:t>
      </w:r>
    </w:p>
    <w:p w14:paraId="4998E753">
      <w:pPr>
        <w:pStyle w:val="5"/>
        <w:spacing w:line="460" w:lineRule="exact"/>
        <w:ind w:firstLineChars="200"/>
        <w:rPr>
          <w:rFonts w:ascii="宋体" w:hAnsi="宋体" w:cs="宋体"/>
        </w:rPr>
      </w:pPr>
      <w:r>
        <w:rPr>
          <w:rFonts w:hint="eastAsia" w:ascii="宋体" w:hAnsi="宋体" w:cs="宋体"/>
        </w:rPr>
        <w:t>2.1投标人必须保证提供的产品为全新、合格、符合国家标准的货物，货物来源为正规渠道。</w:t>
      </w:r>
    </w:p>
    <w:p w14:paraId="09EF4448">
      <w:pPr>
        <w:pStyle w:val="5"/>
        <w:spacing w:line="460" w:lineRule="exact"/>
        <w:ind w:firstLineChars="200"/>
        <w:rPr>
          <w:rFonts w:ascii="宋体" w:hAnsi="宋体" w:cs="宋体"/>
        </w:rPr>
      </w:pPr>
      <w:r>
        <w:rPr>
          <w:rFonts w:hint="eastAsia" w:ascii="宋体" w:hAnsi="宋体" w:cs="宋体"/>
        </w:rPr>
        <w:t>2.2投标人须将货物运输及搬至指定地点（武汉市江岸区四唯路8号），所有产品的外包装必须完整，在招标人现场拆封外包装。</w:t>
      </w:r>
    </w:p>
    <w:p w14:paraId="3B1B2B90">
      <w:pPr>
        <w:pStyle w:val="5"/>
        <w:spacing w:line="460" w:lineRule="exact"/>
        <w:ind w:firstLineChars="200"/>
        <w:rPr>
          <w:rFonts w:cs="宋体" w:asciiTheme="minorEastAsia" w:hAnsiTheme="minorEastAsia" w:eastAsiaTheme="minorEastAsia"/>
        </w:rPr>
      </w:pPr>
      <w:r>
        <w:rPr>
          <w:rFonts w:hint="eastAsia" w:ascii="宋体" w:hAnsi="宋体" w:cs="宋体"/>
        </w:rPr>
        <w:t>2.3投标人须配合完成设备的组装、安装、调试及售后服务等相关工作</w:t>
      </w:r>
      <w:r>
        <w:rPr>
          <w:rFonts w:ascii="宋体" w:hAnsi="宋体" w:cs="宋体"/>
        </w:rPr>
        <w:t>。</w:t>
      </w:r>
    </w:p>
    <w:p w14:paraId="1C631000">
      <w:pPr>
        <w:pStyle w:val="4"/>
        <w:snapToGrid w:val="0"/>
        <w:spacing w:before="0" w:after="0" w:line="460" w:lineRule="exact"/>
        <w:rPr>
          <w:rFonts w:cs="宋体" w:asciiTheme="minorEastAsia" w:hAnsiTheme="minorEastAsia" w:eastAsiaTheme="minorEastAsia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sz w:val="28"/>
          <w:szCs w:val="28"/>
        </w:rPr>
        <w:t>3</w:t>
      </w:r>
      <w:r>
        <w:rPr>
          <w:rFonts w:cs="宋体" w:asciiTheme="minorEastAsia" w:hAnsiTheme="minorEastAsia" w:eastAsiaTheme="minorEastAsia"/>
          <w:sz w:val="28"/>
          <w:szCs w:val="28"/>
        </w:rPr>
        <w:t>.</w:t>
      </w:r>
      <w:r>
        <w:rPr>
          <w:rFonts w:hint="eastAsia" w:cs="宋体" w:asciiTheme="minorEastAsia" w:hAnsiTheme="minorEastAsia" w:eastAsiaTheme="minorEastAsia"/>
          <w:sz w:val="28"/>
          <w:szCs w:val="28"/>
        </w:rPr>
        <w:t>其他</w:t>
      </w:r>
    </w:p>
    <w:p w14:paraId="1F699DEE">
      <w:pPr>
        <w:snapToGrid w:val="0"/>
        <w:spacing w:line="460" w:lineRule="exact"/>
        <w:ind w:firstLine="420" w:firstLineChars="200"/>
        <w:outlineLvl w:val="2"/>
        <w:rPr>
          <w:rFonts w:ascii="宋体" w:hAnsi="宋体" w:cs="宋体"/>
        </w:rPr>
      </w:pPr>
      <w:r>
        <w:rPr>
          <w:rFonts w:hint="eastAsia" w:ascii="宋体" w:hAnsi="宋体" w:cs="宋体"/>
        </w:rPr>
        <w:t>其他未尽事宜由供需双方在采购合同中详细约定。</w:t>
      </w:r>
    </w:p>
    <w:p w14:paraId="31DC6357">
      <w:pPr>
        <w:pStyle w:val="10"/>
        <w:spacing w:beforeLines="0" w:afterLines="0" w:line="420" w:lineRule="exact"/>
        <w:ind w:firstLine="424" w:firstLineChars="202"/>
        <w:rPr>
          <w:rFonts w:ascii="宋体" w:hAnsi="宋体" w:cs="宋体"/>
          <w:sz w:val="21"/>
        </w:rPr>
      </w:pPr>
    </w:p>
    <w:p w14:paraId="2360F1FE"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453FA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4NTI1NTE1YWU3M2RlZTJkMzkwN2FhNDc4MTczYTgifQ=="/>
  </w:docVars>
  <w:rsids>
    <w:rsidRoot w:val="0E7D738C"/>
    <w:rsid w:val="0E7D7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autoSpaceDE w:val="0"/>
      <w:autoSpaceDN w:val="0"/>
      <w:adjustRightInd w:val="0"/>
      <w:spacing w:line="480" w:lineRule="exact"/>
      <w:jc w:val="center"/>
      <w:outlineLvl w:val="0"/>
    </w:pPr>
    <w:rPr>
      <w:rFonts w:hint="eastAsia" w:ascii="宋体" w:hAnsi="宋体"/>
      <w:b/>
      <w:kern w:val="0"/>
      <w:sz w:val="44"/>
      <w:szCs w:val="20"/>
    </w:rPr>
  </w:style>
  <w:style w:type="paragraph" w:styleId="4">
    <w:name w:val="heading 2"/>
    <w:basedOn w:val="1"/>
    <w:next w:val="1"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List Paragraph1"/>
    <w:basedOn w:val="1"/>
    <w:qFormat/>
    <w:uiPriority w:val="0"/>
    <w:pPr>
      <w:ind w:firstLine="420" w:firstLineChars="200"/>
    </w:pPr>
    <w:rPr>
      <w:szCs w:val="20"/>
    </w:rPr>
  </w:style>
  <w:style w:type="paragraph" w:styleId="5">
    <w:name w:val="Normal Indent"/>
    <w:basedOn w:val="1"/>
    <w:unhideWhenUsed/>
    <w:qFormat/>
    <w:uiPriority w:val="0"/>
    <w:pPr>
      <w:ind w:firstLine="420"/>
    </w:pPr>
  </w:style>
  <w:style w:type="character" w:styleId="8">
    <w:name w:val="page number"/>
    <w:unhideWhenUsed/>
    <w:qFormat/>
    <w:uiPriority w:val="99"/>
  </w:style>
  <w:style w:type="character" w:customStyle="1" w:styleId="9">
    <w:name w:val="font31"/>
    <w:basedOn w:val="7"/>
    <w:qFormat/>
    <w:uiPriority w:val="0"/>
    <w:rPr>
      <w:rFonts w:ascii="Arial" w:hAnsi="Arial" w:cs="Arial"/>
      <w:color w:val="000000"/>
      <w:sz w:val="28"/>
      <w:szCs w:val="28"/>
      <w:u w:val="none"/>
    </w:rPr>
  </w:style>
  <w:style w:type="paragraph" w:customStyle="1" w:styleId="10">
    <w:name w:val="正文（缩进）"/>
    <w:basedOn w:val="1"/>
    <w:qFormat/>
    <w:uiPriority w:val="0"/>
    <w:pPr>
      <w:spacing w:beforeLines="50" w:afterLines="50" w:line="360" w:lineRule="auto"/>
      <w:ind w:firstLine="48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2024-09-02T06:09:00Z</dcterms:created>
  <dc:creator>叶竞</dc:creator>
  <cp:lastModifiedBy>叶竞</cp:lastModifiedBy>
  <dcterms:modified xsi:type="dcterms:W3CDTF">2024-09-02T06:12:01Z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15AA89E39CA6436C89DB98CAC94F5ED0_11</vt:lpwstr>
  </property>
</Properties>
</file>